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62" w:rsidRPr="00990C62" w:rsidRDefault="00990C62" w:rsidP="00A97FC9">
      <w:pPr>
        <w:spacing w:after="0" w:line="240" w:lineRule="auto"/>
        <w:ind w:firstLine="708"/>
        <w:jc w:val="right"/>
        <w:rPr>
          <w:rFonts w:ascii="Times New Roman" w:hAnsi="Times New Roman" w:cs="Times New Roman"/>
          <w:sz w:val="24"/>
          <w:szCs w:val="24"/>
          <w:u w:val="single"/>
        </w:rPr>
      </w:pPr>
      <w:r w:rsidRPr="00990C62">
        <w:rPr>
          <w:rFonts w:ascii="Times New Roman" w:hAnsi="Times New Roman" w:cs="Times New Roman"/>
          <w:sz w:val="24"/>
          <w:szCs w:val="24"/>
          <w:u w:val="single"/>
        </w:rPr>
        <w:t>PROJEKT</w:t>
      </w:r>
    </w:p>
    <w:p w:rsidR="00990C62" w:rsidRDefault="00990C62" w:rsidP="00A97FC9">
      <w:pPr>
        <w:spacing w:after="0" w:line="240" w:lineRule="auto"/>
        <w:ind w:firstLine="708"/>
        <w:jc w:val="right"/>
        <w:rPr>
          <w:rFonts w:ascii="Times New Roman" w:hAnsi="Times New Roman" w:cs="Times New Roman"/>
          <w:sz w:val="24"/>
          <w:szCs w:val="24"/>
        </w:rPr>
      </w:pPr>
    </w:p>
    <w:p w:rsidR="00A97FC9" w:rsidRDefault="007032D5" w:rsidP="00A97FC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Wysokie Mazowieckie, ………</w:t>
      </w:r>
      <w:r w:rsidR="00A97FC9">
        <w:rPr>
          <w:rFonts w:ascii="Times New Roman" w:hAnsi="Times New Roman" w:cs="Times New Roman"/>
          <w:sz w:val="24"/>
          <w:szCs w:val="24"/>
        </w:rPr>
        <w:t>.2024r.</w:t>
      </w:r>
    </w:p>
    <w:p w:rsidR="00A97FC9" w:rsidRDefault="00A97FC9" w:rsidP="00A97FC9">
      <w:pPr>
        <w:spacing w:after="0" w:line="240" w:lineRule="auto"/>
        <w:ind w:firstLine="708"/>
        <w:jc w:val="right"/>
        <w:rPr>
          <w:rFonts w:ascii="Times New Roman" w:hAnsi="Times New Roman" w:cs="Times New Roman"/>
          <w:sz w:val="24"/>
          <w:szCs w:val="24"/>
        </w:rPr>
      </w:pPr>
    </w:p>
    <w:p w:rsidR="00A97FC9" w:rsidRDefault="00A97FC9" w:rsidP="001C3298">
      <w:pPr>
        <w:spacing w:after="0" w:line="240" w:lineRule="auto"/>
        <w:ind w:firstLine="708"/>
        <w:jc w:val="center"/>
        <w:rPr>
          <w:rFonts w:ascii="Times New Roman" w:hAnsi="Times New Roman" w:cs="Times New Roman"/>
          <w:sz w:val="24"/>
          <w:szCs w:val="24"/>
        </w:rPr>
      </w:pPr>
    </w:p>
    <w:p w:rsidR="001C3298" w:rsidRDefault="001C3298" w:rsidP="001C3298">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OPINIA</w:t>
      </w:r>
    </w:p>
    <w:p w:rsidR="001C3298" w:rsidRDefault="001C3298" w:rsidP="001C3298">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KOMISJI SKARG WNIOSKÓW i PETYCJI</w:t>
      </w:r>
    </w:p>
    <w:p w:rsidR="001C3298" w:rsidRDefault="001C3298" w:rsidP="001C3298">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RADY MIASTA WYSOKIE MAZOWIECKIE</w:t>
      </w:r>
    </w:p>
    <w:p w:rsidR="001C3298" w:rsidRDefault="001C3298" w:rsidP="001C3298">
      <w:pPr>
        <w:spacing w:after="0" w:line="240" w:lineRule="auto"/>
        <w:ind w:firstLine="708"/>
        <w:jc w:val="center"/>
        <w:rPr>
          <w:rFonts w:ascii="Times New Roman" w:hAnsi="Times New Roman" w:cs="Times New Roman"/>
          <w:sz w:val="24"/>
          <w:szCs w:val="24"/>
        </w:rPr>
      </w:pPr>
    </w:p>
    <w:p w:rsidR="001C3298" w:rsidRDefault="001C3298" w:rsidP="002803EA">
      <w:pPr>
        <w:spacing w:after="0" w:line="240" w:lineRule="auto"/>
        <w:ind w:firstLine="708"/>
        <w:jc w:val="both"/>
        <w:rPr>
          <w:rFonts w:ascii="Times New Roman" w:hAnsi="Times New Roman" w:cs="Times New Roman"/>
          <w:sz w:val="24"/>
          <w:szCs w:val="24"/>
        </w:rPr>
      </w:pPr>
    </w:p>
    <w:p w:rsidR="002803EA" w:rsidRDefault="002803EA" w:rsidP="002803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dniu 13.09.2024r. wpłynęła do Przewodniczącego Rady Miasta Wysokie Mazowieckie petycja wniesiona przez Grzegorza Piotra Kamińskiego w interesie publicznym mająca na celu podjęcie przeciwdziałań w przypadku tworzenia na terenie gminy ośrodków dla imigrantów, czy to w ramach przyjmowania imigrantów na mocy tzw. Paktu Migracyjnego przyjętego przez organy Uchwałodawcze Unii Europejskiej, w tym w ramach procedury tzw. relokacji czy wszelkiego innego rodzaju procedur wynikających z umów międzynarodowych albo krajowego prawodawstwa poprzez wezwanie samorządowego organu stanowiącego do przyjęcia uchwały kierunkowej zobowiązującej samorządową władzę wykonawczą do użycia wszelkich prawnych metod aby nie dopuścić do utworzenia na jej terenie jakichkolwiek ośrodków dla imigrantów nielegalnie przekraczających granicę (w tym granicę całej Unii Europejskiej), a następnie wnioskujących o azyl, a w szczególności poprzez brak partycypacji ze strony samorządu w ewentualnych programach rządowych bądź innych instytucji, w tym tych finansowanych ze środków unijnych – a mających na celu budowę na obszarze jednostki samorządowej bazy lokalowej dla imigrantów; nieudostępnianie zasobów rzeczowych bądź kadrowych samorządu na wyżej wymieniony cel; formułowanie protestów, petycji i innych form wyrażania woli w przypadku powzięcia informacji o planach budowy ośrodków dla imigrantów na obszarze jednostki samorządowej..</w:t>
      </w:r>
    </w:p>
    <w:p w:rsidR="002803EA" w:rsidRDefault="002803EA" w:rsidP="002803E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Komisja Skarg, Wniosków i Petycji na posiedzeniu w dniu 25 października 2024 r. </w:t>
      </w:r>
      <w:r w:rsidR="007032D5">
        <w:rPr>
          <w:rStyle w:val="markedcontent"/>
          <w:rFonts w:ascii="Times New Roman" w:hAnsi="Times New Roman" w:cs="Times New Roman"/>
          <w:sz w:val="24"/>
          <w:szCs w:val="24"/>
        </w:rPr>
        <w:t xml:space="preserve">i 26 listopada 2024 r. </w:t>
      </w:r>
      <w:r>
        <w:rPr>
          <w:rStyle w:val="markedcontent"/>
          <w:rFonts w:ascii="Times New Roman" w:hAnsi="Times New Roman" w:cs="Times New Roman"/>
          <w:sz w:val="24"/>
          <w:szCs w:val="24"/>
        </w:rPr>
        <w:t xml:space="preserve">szczegółowo analizowała stan prawny wnioskowanej petycji i wskazała, że brak jest podstaw prawnych do podjęcia uchwały kierunkowej. </w:t>
      </w:r>
    </w:p>
    <w:p w:rsidR="002803EA" w:rsidRPr="00592A73" w:rsidRDefault="002803EA" w:rsidP="002803EA">
      <w:pPr>
        <w:spacing w:after="0" w:line="240" w:lineRule="auto"/>
        <w:ind w:firstLine="708"/>
        <w:jc w:val="both"/>
        <w:rPr>
          <w:rStyle w:val="hgkelc"/>
          <w:rFonts w:ascii="Times New Roman" w:hAnsi="Times New Roman" w:cs="Times New Roman"/>
          <w:sz w:val="24"/>
          <w:szCs w:val="24"/>
        </w:rPr>
      </w:pPr>
      <w:r>
        <w:rPr>
          <w:rFonts w:ascii="Times New Roman" w:hAnsi="Times New Roman" w:cs="Times New Roman"/>
          <w:sz w:val="24"/>
          <w:szCs w:val="24"/>
        </w:rPr>
        <w:t xml:space="preserve">Zgodnie z art. 2 ust. 3 ustawy z dnia 11 lipca 2014r. o petycjach (Dz. U. z 2018 r. poz. 870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przedmiotem petycji może być żądanie, w szczególności, zmiany przepisów prawa, podjęcia rozstrzygnięcia lub innego działania w sprawie dotyczącej podmiotu wnoszącego petycję, życia zbiorowego lub wartości wymagających szczególnej ochrony w imię dobra wspólnego, mieszczących się </w:t>
      </w:r>
      <w:r w:rsidRPr="006D02F7">
        <w:rPr>
          <w:rFonts w:ascii="Times New Roman" w:hAnsi="Times New Roman" w:cs="Times New Roman"/>
          <w:sz w:val="24"/>
          <w:szCs w:val="24"/>
          <w:u w:val="single"/>
        </w:rPr>
        <w:t>w zakresie zadań i kompetencji adresata petycji</w:t>
      </w:r>
      <w:r>
        <w:rPr>
          <w:rFonts w:ascii="Times New Roman" w:hAnsi="Times New Roman" w:cs="Times New Roman"/>
          <w:sz w:val="24"/>
          <w:szCs w:val="24"/>
        </w:rPr>
        <w:t xml:space="preserve">. Jak wskazano w art. 6 ust.1 ustawy z dnia 8 marca 1990 r. o samorządzie gminnym (Dz. U. z 2024 r. poz. 1465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F04A07">
        <w:rPr>
          <w:rFonts w:ascii="Times New Roman" w:hAnsi="Times New Roman" w:cs="Times New Roman"/>
          <w:sz w:val="24"/>
          <w:szCs w:val="24"/>
        </w:rPr>
        <w:t xml:space="preserve"> ze zm.</w:t>
      </w:r>
      <w:r>
        <w:rPr>
          <w:rFonts w:ascii="Times New Roman" w:hAnsi="Times New Roman" w:cs="Times New Roman"/>
          <w:sz w:val="24"/>
          <w:szCs w:val="24"/>
        </w:rPr>
        <w:t xml:space="preserve">) do zakresu działania gminy należą wszystkie sprawy publiczne o znaczeniu lokalnym, niezastrzeżone ustawami na rzecz innych podmiotów. Natomiast art. 18 ust. 1 stanowi, że do właściwości rady gminy należą wszystkie sprawy pozostające w zakresie działania gminy, o ile ustawy nie stanowią inaczej.  </w:t>
      </w:r>
      <w:r w:rsidRPr="006D02F7">
        <w:rPr>
          <w:rFonts w:ascii="Times New Roman" w:hAnsi="Times New Roman" w:cs="Times New Roman"/>
          <w:sz w:val="24"/>
          <w:szCs w:val="24"/>
        </w:rPr>
        <w:t>Należy podkreślić, iż politykę migracyjną kształtuje się na szczeblu centralnym. Najważniejszą instytucją zajmującą się problematyką migracji w strukturach administracji rządowej jest Ministerstwo Spraw Wewnętrznych i Administracji, które</w:t>
      </w:r>
      <w:r>
        <w:rPr>
          <w:rFonts w:ascii="Times New Roman" w:hAnsi="Times New Roman" w:cs="Times New Roman"/>
          <w:sz w:val="24"/>
          <w:szCs w:val="24"/>
        </w:rPr>
        <w:t xml:space="preserve">mu podlega Urząd ds. Cudzoziemców. I to szef Urzędu ds. Cudzoziemców na podstawie ustawy z dnia </w:t>
      </w:r>
      <w:r w:rsidRPr="006F7408">
        <w:rPr>
          <w:rFonts w:ascii="Times New Roman" w:hAnsi="Times New Roman" w:cs="Times New Roman"/>
          <w:sz w:val="24"/>
          <w:szCs w:val="24"/>
        </w:rPr>
        <w:t>z dnia 12 grudnia 2013 r.</w:t>
      </w:r>
      <w:r>
        <w:rPr>
          <w:rFonts w:ascii="Times New Roman" w:hAnsi="Times New Roman" w:cs="Times New Roman"/>
          <w:sz w:val="24"/>
          <w:szCs w:val="24"/>
        </w:rPr>
        <w:t xml:space="preserve"> o cudzoziemcach (Dz.U z 2024 poz. </w:t>
      </w:r>
      <w:r w:rsidRPr="006F7408">
        <w:rPr>
          <w:rFonts w:ascii="Times New Roman" w:hAnsi="Times New Roman" w:cs="Times New Roman"/>
          <w:sz w:val="24"/>
          <w:szCs w:val="24"/>
        </w:rPr>
        <w:t xml:space="preserve">769 </w:t>
      </w:r>
      <w:proofErr w:type="spellStart"/>
      <w:r w:rsidRPr="006F7408">
        <w:rPr>
          <w:rFonts w:ascii="Times New Roman" w:hAnsi="Times New Roman" w:cs="Times New Roman"/>
          <w:sz w:val="24"/>
          <w:szCs w:val="24"/>
        </w:rPr>
        <w:t>t.j</w:t>
      </w:r>
      <w:proofErr w:type="spellEnd"/>
      <w:r>
        <w:rPr>
          <w:rFonts w:ascii="Times New Roman" w:hAnsi="Times New Roman" w:cs="Times New Roman"/>
          <w:sz w:val="24"/>
          <w:szCs w:val="24"/>
        </w:rPr>
        <w:t xml:space="preserve">) zapewnia i organizuje ośrodki dla cudzoziemców. Należy również zauważyć, iż uchwała kierunkowa może wskazywać priorytety, którymi organ wykonawczy powinien się kierować podczas wykonywania uchwały. Na podstawie tego upoważnienia ustawowego rada gminy nie może natomiast nakazywać organowi wykonawczemu stosowania konkretnych rozwiązań prawnych ani też narzucać sposobu załatwienia konkretnej sprawy. Tego rodzaju uchwały nie mogą zatem nakazywać organowi wykonawczemu podejmowania określonych, konkretnych </w:t>
      </w:r>
      <w:r>
        <w:rPr>
          <w:rFonts w:ascii="Times New Roman" w:hAnsi="Times New Roman" w:cs="Times New Roman"/>
          <w:sz w:val="24"/>
          <w:szCs w:val="24"/>
        </w:rPr>
        <w:lastRenderedPageBreak/>
        <w:t>działań. Powinny mieć one charakter programowy (intencyjny) i wewnętrzny, a zatem powinny zawierać wyłącznie wytyczne lub zalecenia dla organu wykonawczego.</w:t>
      </w:r>
      <w:r>
        <w:rPr>
          <w:rStyle w:val="hgkelc"/>
          <w:rFonts w:ascii="Times New Roman" w:hAnsi="Times New Roman" w:cs="Times New Roman"/>
          <w:sz w:val="24"/>
          <w:szCs w:val="24"/>
        </w:rPr>
        <w:t xml:space="preserve"> Uchwała taka nie może natomiast wkraczać w zakres kompetencji należnych ustawowo wójtowi (burmistrzowi, prezydentowi miasta) z mocy ustawy.</w:t>
      </w:r>
    </w:p>
    <w:p w:rsidR="002803EA" w:rsidRPr="00A202DA" w:rsidRDefault="002803EA" w:rsidP="002803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powyższym rada gminy podejmując uchwałę w zakresie wskazanym w przedmiotowej petycji wykraczałaby poza swoje kompetencje. Taka uchwała, podjęta bez upoważnienia ustawowego, zostałaby uznana za  nieważną przez organ nadzoru (wyrok NSA  z dnia </w:t>
      </w:r>
      <w:r w:rsidRPr="00A202DA">
        <w:rPr>
          <w:rFonts w:ascii="Times New Roman" w:hAnsi="Times New Roman" w:cs="Times New Roman"/>
          <w:sz w:val="24"/>
          <w:szCs w:val="24"/>
        </w:rPr>
        <w:t xml:space="preserve">25.04.2017 sygn. I OSK 117/17). </w:t>
      </w:r>
    </w:p>
    <w:p w:rsidR="002803EA" w:rsidRPr="00A202DA" w:rsidRDefault="002803EA" w:rsidP="002803EA">
      <w:pPr>
        <w:spacing w:after="0" w:line="240" w:lineRule="auto"/>
        <w:ind w:firstLine="708"/>
        <w:jc w:val="both"/>
        <w:rPr>
          <w:rFonts w:ascii="Times New Roman" w:hAnsi="Times New Roman" w:cs="Times New Roman"/>
          <w:sz w:val="24"/>
          <w:szCs w:val="24"/>
        </w:rPr>
      </w:pPr>
      <w:r w:rsidRPr="00A202DA">
        <w:rPr>
          <w:rFonts w:ascii="Times New Roman" w:hAnsi="Times New Roman" w:cs="Times New Roman"/>
          <w:sz w:val="24"/>
          <w:szCs w:val="24"/>
        </w:rPr>
        <w:t xml:space="preserve">Komisja uważa również, iż należy uwzględnić fakt, że Gmina Miejska Wysokie Mazowieckie nie posiada bazy lokalowej, którą można by udostępnić dla </w:t>
      </w:r>
      <w:r w:rsidR="002E2696">
        <w:rPr>
          <w:rFonts w:ascii="Times New Roman" w:hAnsi="Times New Roman" w:cs="Times New Roman"/>
          <w:sz w:val="24"/>
          <w:szCs w:val="24"/>
        </w:rPr>
        <w:t>i</w:t>
      </w:r>
      <w:r w:rsidRPr="00A202DA">
        <w:rPr>
          <w:rFonts w:ascii="Times New Roman" w:hAnsi="Times New Roman" w:cs="Times New Roman"/>
          <w:sz w:val="24"/>
          <w:szCs w:val="24"/>
        </w:rPr>
        <w:t xml:space="preserve">migrantów. </w:t>
      </w:r>
    </w:p>
    <w:p w:rsidR="002803EA" w:rsidRDefault="002803EA" w:rsidP="002803EA">
      <w:pPr>
        <w:spacing w:after="0" w:line="240" w:lineRule="auto"/>
        <w:ind w:firstLine="70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Komisja Skarg Wniosków i Petycji</w:t>
      </w:r>
      <w:r>
        <w:rPr>
          <w:rFonts w:ascii="Times New Roman" w:eastAsia="Times New Roman" w:hAnsi="Times New Roman" w:cs="Times New Roman"/>
          <w:sz w:val="24"/>
          <w:szCs w:val="24"/>
          <w:lang w:eastAsia="pl-PL"/>
        </w:rPr>
        <w:t xml:space="preserve"> stwierdza, </w:t>
      </w:r>
      <w:r>
        <w:rPr>
          <w:rStyle w:val="markedcontent"/>
          <w:rFonts w:ascii="Times New Roman" w:hAnsi="Times New Roman" w:cs="Times New Roman"/>
          <w:sz w:val="24"/>
          <w:szCs w:val="24"/>
        </w:rPr>
        <w:t xml:space="preserve">że przedmiot wymienionej petycji nie mieści się w zakresie zadań i kompetencji Rady Miasta Wysokie Mazowieckie i w związku z czym rekomenduje </w:t>
      </w:r>
      <w:r w:rsidR="006F04B0">
        <w:rPr>
          <w:rStyle w:val="markedcontent"/>
          <w:rFonts w:ascii="Times New Roman" w:hAnsi="Times New Roman" w:cs="Times New Roman"/>
          <w:sz w:val="24"/>
          <w:szCs w:val="24"/>
        </w:rPr>
        <w:t xml:space="preserve">o </w:t>
      </w:r>
      <w:bookmarkStart w:id="0" w:name="_GoBack"/>
      <w:bookmarkEnd w:id="0"/>
      <w:r>
        <w:rPr>
          <w:rStyle w:val="markedcontent"/>
          <w:rFonts w:ascii="Times New Roman" w:hAnsi="Times New Roman" w:cs="Times New Roman"/>
          <w:sz w:val="24"/>
          <w:szCs w:val="24"/>
        </w:rPr>
        <w:t xml:space="preserve">nie uwzględnienie przedmiotowej petycji. </w:t>
      </w:r>
    </w:p>
    <w:p w:rsidR="00A97FC9" w:rsidRDefault="00A97FC9" w:rsidP="00A97FC9">
      <w:pPr>
        <w:spacing w:after="0" w:line="240" w:lineRule="auto"/>
        <w:jc w:val="both"/>
        <w:rPr>
          <w:rFonts w:ascii="Times New Roman" w:hAnsi="Times New Roman" w:cs="Times New Roman"/>
          <w:sz w:val="24"/>
          <w:szCs w:val="24"/>
        </w:rPr>
      </w:pPr>
    </w:p>
    <w:p w:rsidR="003E1DAB" w:rsidRDefault="003E1DAB"/>
    <w:sectPr w:rsidR="003E1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71"/>
    <w:rsid w:val="00066C3D"/>
    <w:rsid w:val="001C3298"/>
    <w:rsid w:val="00236A71"/>
    <w:rsid w:val="002803EA"/>
    <w:rsid w:val="002E2696"/>
    <w:rsid w:val="003E1DAB"/>
    <w:rsid w:val="006F04B0"/>
    <w:rsid w:val="007032D5"/>
    <w:rsid w:val="00990C62"/>
    <w:rsid w:val="00A97FC9"/>
    <w:rsid w:val="00F04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07643-9A46-493A-8228-58FCBA9F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3E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803EA"/>
  </w:style>
  <w:style w:type="character" w:customStyle="1" w:styleId="hgkelc">
    <w:name w:val="hgkelc"/>
    <w:basedOn w:val="Domylnaczcionkaakapitu"/>
    <w:rsid w:val="002803EA"/>
  </w:style>
  <w:style w:type="paragraph" w:styleId="Tekstdymka">
    <w:name w:val="Balloon Text"/>
    <w:basedOn w:val="Normalny"/>
    <w:link w:val="TekstdymkaZnak"/>
    <w:uiPriority w:val="99"/>
    <w:semiHidden/>
    <w:unhideWhenUsed/>
    <w:rsid w:val="002803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Konarzewska</dc:creator>
  <cp:keywords/>
  <dc:description/>
  <cp:lastModifiedBy>Ewa Konarzewska</cp:lastModifiedBy>
  <cp:revision>10</cp:revision>
  <cp:lastPrinted>2024-10-24T11:20:00Z</cp:lastPrinted>
  <dcterms:created xsi:type="dcterms:W3CDTF">2024-10-24T08:19:00Z</dcterms:created>
  <dcterms:modified xsi:type="dcterms:W3CDTF">2024-11-20T06:31:00Z</dcterms:modified>
</cp:coreProperties>
</file>